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97" w:rsidRDefault="00E56BDF">
      <w:pPr>
        <w:rPr>
          <w:lang w:val="hr-HR"/>
        </w:rPr>
      </w:pPr>
      <w:r>
        <w:rPr>
          <w:lang w:val="hr-HR"/>
        </w:rPr>
        <w:t xml:space="preserve">                      </w:t>
      </w:r>
      <w:r w:rsidR="00C90F97">
        <w:rPr>
          <w:lang w:val="hr-HR"/>
        </w:rPr>
        <w:t>11679  OSNOVNA ŠKOLA IVANA ANTOLČIĆA KOMAREVO</w:t>
      </w:r>
    </w:p>
    <w:p w:rsidR="00705A1C" w:rsidRDefault="00E56BDF">
      <w:pPr>
        <w:rPr>
          <w:lang w:val="hr-HR"/>
        </w:rPr>
      </w:pPr>
      <w:r>
        <w:rPr>
          <w:lang w:val="hr-HR"/>
        </w:rPr>
        <w:t xml:space="preserve">                </w:t>
      </w:r>
      <w:r w:rsidR="00705A1C">
        <w:rPr>
          <w:lang w:val="hr-HR"/>
        </w:rPr>
        <w:t>FINANCIJSKI PLAN ZA 2026. GODINU I PROJEKCIJA ZA 2027. I 2028. GODINU</w:t>
      </w:r>
    </w:p>
    <w:p w:rsidR="00705A1C" w:rsidRPr="00705A1C" w:rsidRDefault="00705A1C" w:rsidP="00705A1C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OPĆI DIO</w:t>
      </w:r>
    </w:p>
    <w:p w:rsidR="00C90F97" w:rsidRDefault="00705A1C">
      <w:pPr>
        <w:rPr>
          <w:lang w:val="hr-HR"/>
        </w:rPr>
      </w:pPr>
      <w:r>
        <w:rPr>
          <w:lang w:val="hr-HR"/>
        </w:rPr>
        <w:t xml:space="preserve">                                   A. SAŽETAK RAČUNA PRIHODA I RASHODA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3531"/>
        <w:gridCol w:w="1394"/>
        <w:gridCol w:w="1394"/>
        <w:gridCol w:w="1394"/>
      </w:tblGrid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Konto</w:t>
            </w:r>
            <w:proofErr w:type="spellEnd"/>
          </w:p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Naziv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prihoda</w:t>
            </w:r>
            <w:proofErr w:type="spellEnd"/>
            <w:r w:rsidRPr="00614749">
              <w:t>/</w:t>
            </w:r>
            <w:proofErr w:type="spellStart"/>
            <w:r w:rsidRPr="00614749">
              <w:t>rashoda</w:t>
            </w:r>
            <w:proofErr w:type="spellEnd"/>
          </w:p>
        </w:tc>
        <w:tc>
          <w:tcPr>
            <w:tcW w:w="1394" w:type="dxa"/>
          </w:tcPr>
          <w:p w:rsidR="00C90F97" w:rsidRPr="00614749" w:rsidRDefault="00E56BDF" w:rsidP="00D263E2">
            <w:pPr>
              <w:jc w:val="right"/>
              <w:rPr>
                <w:b/>
              </w:rPr>
            </w:pPr>
            <w:r>
              <w:rPr>
                <w:b/>
              </w:rPr>
              <w:t xml:space="preserve">Plan </w:t>
            </w:r>
            <w:r w:rsidR="00C90F97" w:rsidRPr="00614749">
              <w:rPr>
                <w:b/>
              </w:rPr>
              <w:t>2026</w:t>
            </w:r>
          </w:p>
        </w:tc>
        <w:tc>
          <w:tcPr>
            <w:tcW w:w="1394" w:type="dxa"/>
          </w:tcPr>
          <w:p w:rsidR="00C90F97" w:rsidRPr="00614749" w:rsidRDefault="00E56BDF" w:rsidP="00D263E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Projekcija</w:t>
            </w:r>
            <w:proofErr w:type="spellEnd"/>
            <w:r>
              <w:rPr>
                <w:b/>
              </w:rPr>
              <w:t xml:space="preserve"> </w:t>
            </w:r>
            <w:r w:rsidR="00C90F97" w:rsidRPr="00614749">
              <w:rPr>
                <w:b/>
              </w:rPr>
              <w:t>2027</w:t>
            </w:r>
          </w:p>
        </w:tc>
        <w:tc>
          <w:tcPr>
            <w:tcW w:w="1394" w:type="dxa"/>
          </w:tcPr>
          <w:p w:rsidR="00C90F97" w:rsidRPr="00614749" w:rsidRDefault="00E56BDF" w:rsidP="00D263E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Projekcija</w:t>
            </w:r>
            <w:proofErr w:type="spellEnd"/>
            <w:r>
              <w:rPr>
                <w:b/>
              </w:rPr>
              <w:t xml:space="preserve"> </w:t>
            </w:r>
            <w:r w:rsidR="00C90F97" w:rsidRPr="00614749">
              <w:rPr>
                <w:b/>
              </w:rPr>
              <w:t>2028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pPr>
              <w:rPr>
                <w:highlight w:val="green"/>
              </w:rPr>
            </w:pPr>
          </w:p>
        </w:tc>
        <w:tc>
          <w:tcPr>
            <w:tcW w:w="0" w:type="auto"/>
          </w:tcPr>
          <w:p w:rsidR="00C90F97" w:rsidRPr="00614749" w:rsidRDefault="00C90F97" w:rsidP="00D263E2">
            <w:pPr>
              <w:rPr>
                <w:b/>
              </w:rPr>
            </w:pPr>
            <w:r w:rsidRPr="00614749">
              <w:rPr>
                <w:b/>
              </w:rPr>
              <w:t>PRIHODI UKUPNO (€)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1.064.040,00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r w:rsidRPr="00614749">
              <w:t xml:space="preserve"> 6</w:t>
            </w:r>
          </w:p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Prihodi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poslovanja</w:t>
            </w:r>
            <w:proofErr w:type="spellEnd"/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1064.040,00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1.052.040,00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1.052.040,00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r w:rsidRPr="00614749">
              <w:t xml:space="preserve"> 7</w:t>
            </w:r>
          </w:p>
        </w:tc>
        <w:tc>
          <w:tcPr>
            <w:tcW w:w="0" w:type="auto"/>
          </w:tcPr>
          <w:p w:rsidR="00C90F97" w:rsidRPr="00614749" w:rsidRDefault="00C90F97" w:rsidP="00D263E2">
            <w:pPr>
              <w:tabs>
                <w:tab w:val="left" w:pos="3315"/>
              </w:tabs>
            </w:pPr>
            <w:proofErr w:type="spellStart"/>
            <w:r w:rsidRPr="00614749">
              <w:t>Prihodi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nefinancijske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imovine</w:t>
            </w:r>
            <w:proofErr w:type="spellEnd"/>
            <w:r w:rsidRPr="00614749">
              <w:tab/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pPr>
              <w:rPr>
                <w:highlight w:val="yellow"/>
              </w:rPr>
            </w:pPr>
            <w:r w:rsidRPr="00614749">
              <w:rPr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C90F97" w:rsidRPr="00614749" w:rsidRDefault="00C90F97" w:rsidP="00D263E2">
            <w:pPr>
              <w:rPr>
                <w:b/>
              </w:rPr>
            </w:pPr>
            <w:r w:rsidRPr="00614749">
              <w:rPr>
                <w:b/>
              </w:rPr>
              <w:t>RASHODI UKUPNO (€)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1.064.040,00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  <w:rPr>
                <w:b/>
              </w:rPr>
            </w:pPr>
            <w:r w:rsidRPr="00614749">
              <w:rPr>
                <w:b/>
              </w:rPr>
              <w:t>1.052.040,00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r w:rsidRPr="00614749">
              <w:t>3</w:t>
            </w:r>
          </w:p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Rashodi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poslovanja</w:t>
            </w:r>
            <w:proofErr w:type="spellEnd"/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1.041.840,00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1.029.840,00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1.029.840,00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r w:rsidRPr="00614749">
              <w:t>4</w:t>
            </w:r>
          </w:p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Rashodi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za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nefinancijsku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imovinu</w:t>
            </w:r>
            <w:proofErr w:type="spellEnd"/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22.200,00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22.200,00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22.200,00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/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Razlika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višak</w:t>
            </w:r>
            <w:proofErr w:type="spellEnd"/>
            <w:r w:rsidRPr="00614749">
              <w:t>/</w:t>
            </w:r>
            <w:proofErr w:type="spellStart"/>
            <w:r w:rsidRPr="00614749">
              <w:t>manjak</w:t>
            </w:r>
            <w:proofErr w:type="spellEnd"/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-3.400,00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-3.400,00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-3.400,00</w:t>
            </w:r>
          </w:p>
        </w:tc>
      </w:tr>
      <w:tr w:rsidR="00C90F97" w:rsidRPr="00614749" w:rsidTr="00D263E2">
        <w:tc>
          <w:tcPr>
            <w:tcW w:w="0" w:type="auto"/>
          </w:tcPr>
          <w:p w:rsidR="00C90F97" w:rsidRPr="00614749" w:rsidRDefault="00C90F97" w:rsidP="00D263E2">
            <w:r w:rsidRPr="00614749">
              <w:t>9</w:t>
            </w:r>
          </w:p>
        </w:tc>
        <w:tc>
          <w:tcPr>
            <w:tcW w:w="0" w:type="auto"/>
          </w:tcPr>
          <w:p w:rsidR="00C90F97" w:rsidRPr="00614749" w:rsidRDefault="00C90F97" w:rsidP="00D263E2">
            <w:proofErr w:type="spellStart"/>
            <w:r w:rsidRPr="00614749">
              <w:t>Višak</w:t>
            </w:r>
            <w:proofErr w:type="spellEnd"/>
            <w:r w:rsidRPr="00614749">
              <w:t>/</w:t>
            </w:r>
            <w:proofErr w:type="spellStart"/>
            <w:r w:rsidRPr="00614749">
              <w:t>manjak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iz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prethodne</w:t>
            </w:r>
            <w:proofErr w:type="spellEnd"/>
            <w:r w:rsidRPr="00614749">
              <w:t xml:space="preserve"> </w:t>
            </w:r>
            <w:proofErr w:type="spellStart"/>
            <w:r w:rsidRPr="00614749">
              <w:t>godine</w:t>
            </w:r>
            <w:proofErr w:type="spellEnd"/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3.400,00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3.400,00</w:t>
            </w:r>
          </w:p>
        </w:tc>
        <w:tc>
          <w:tcPr>
            <w:tcW w:w="1394" w:type="dxa"/>
          </w:tcPr>
          <w:p w:rsidR="00C90F97" w:rsidRPr="00614749" w:rsidRDefault="00C90F97" w:rsidP="00D263E2">
            <w:pPr>
              <w:jc w:val="right"/>
            </w:pPr>
            <w:r w:rsidRPr="00614749">
              <w:t>3.400,00</w:t>
            </w:r>
          </w:p>
        </w:tc>
      </w:tr>
    </w:tbl>
    <w:p w:rsidR="00E56BDF" w:rsidRDefault="00E56BDF" w:rsidP="00705A1C">
      <w:pPr>
        <w:tabs>
          <w:tab w:val="left" w:pos="2145"/>
        </w:tabs>
        <w:rPr>
          <w:lang w:val="hr-HR"/>
        </w:rPr>
      </w:pPr>
    </w:p>
    <w:p w:rsidR="00705A1C" w:rsidRDefault="00705A1C" w:rsidP="00705A1C">
      <w:pPr>
        <w:tabs>
          <w:tab w:val="left" w:pos="2145"/>
        </w:tabs>
        <w:rPr>
          <w:lang w:val="hr-HR"/>
        </w:rPr>
      </w:pPr>
      <w:r>
        <w:rPr>
          <w:lang w:val="hr-HR"/>
        </w:rPr>
        <w:tab/>
        <w:t>B. SAŽETAK RAČUNA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4896"/>
        <w:gridCol w:w="1253"/>
        <w:gridCol w:w="1406"/>
        <w:gridCol w:w="1269"/>
      </w:tblGrid>
      <w:tr w:rsidR="00E56BDF" w:rsidRPr="00614749" w:rsidTr="00E56BDF">
        <w:tc>
          <w:tcPr>
            <w:tcW w:w="752" w:type="dxa"/>
          </w:tcPr>
          <w:p w:rsidR="00E56BDF" w:rsidRPr="00614749" w:rsidRDefault="00E56BDF" w:rsidP="00CE6729">
            <w:proofErr w:type="spellStart"/>
            <w:r>
              <w:t>Konto</w:t>
            </w:r>
            <w:proofErr w:type="spellEnd"/>
          </w:p>
        </w:tc>
        <w:tc>
          <w:tcPr>
            <w:tcW w:w="5026" w:type="dxa"/>
          </w:tcPr>
          <w:p w:rsidR="00E56BDF" w:rsidRPr="00614749" w:rsidRDefault="00E56BDF" w:rsidP="00CE6729"/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 xml:space="preserve">Plan </w:t>
            </w:r>
            <w:r w:rsidRPr="00614749">
              <w:rPr>
                <w:b/>
              </w:rPr>
              <w:t>2026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Projekcija</w:t>
            </w:r>
            <w:proofErr w:type="spellEnd"/>
            <w:r>
              <w:rPr>
                <w:b/>
              </w:rPr>
              <w:t xml:space="preserve"> </w:t>
            </w:r>
            <w:r w:rsidRPr="00614749">
              <w:rPr>
                <w:b/>
              </w:rPr>
              <w:t>2027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Projekcija</w:t>
            </w:r>
            <w:proofErr w:type="spellEnd"/>
            <w:r>
              <w:rPr>
                <w:b/>
              </w:rPr>
              <w:t xml:space="preserve"> </w:t>
            </w:r>
            <w:r w:rsidRPr="00614749">
              <w:rPr>
                <w:b/>
              </w:rPr>
              <w:t>2028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Default="00E56BDF" w:rsidP="00CE6729">
            <w:r>
              <w:t>8</w:t>
            </w:r>
          </w:p>
        </w:tc>
        <w:tc>
          <w:tcPr>
            <w:tcW w:w="5026" w:type="dxa"/>
          </w:tcPr>
          <w:p w:rsidR="00E56BDF" w:rsidRPr="00614749" w:rsidRDefault="00E56BDF" w:rsidP="00CE6729">
            <w:pPr>
              <w:rPr>
                <w:b/>
              </w:rPr>
            </w:pPr>
            <w:r>
              <w:t>PRIMCI OD FINANCIJSKE IMOVINE I ZADUŽIVANJA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Default="00E56BDF" w:rsidP="00CE6729">
            <w:r>
              <w:t>5</w:t>
            </w:r>
          </w:p>
        </w:tc>
        <w:tc>
          <w:tcPr>
            <w:tcW w:w="5026" w:type="dxa"/>
          </w:tcPr>
          <w:p w:rsidR="00E56BDF" w:rsidRPr="00614749" w:rsidRDefault="00E56BDF" w:rsidP="00CE6729">
            <w:r>
              <w:t>IZDACI ZA FINANCIJSKU IMOVINU I OTPLATE ZAJMOVA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Default="00E56BDF" w:rsidP="00CE6729">
            <w:pPr>
              <w:tabs>
                <w:tab w:val="left" w:pos="3315"/>
              </w:tabs>
            </w:pPr>
          </w:p>
        </w:tc>
        <w:tc>
          <w:tcPr>
            <w:tcW w:w="5026" w:type="dxa"/>
          </w:tcPr>
          <w:p w:rsidR="00E56BDF" w:rsidRPr="00614749" w:rsidRDefault="00E56BDF" w:rsidP="00CE6729">
            <w:pPr>
              <w:tabs>
                <w:tab w:val="left" w:pos="3315"/>
              </w:tabs>
            </w:pPr>
            <w:r>
              <w:t>PRIJENOS SREDSTAVA IZ PRETHODNE GODINE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Pr="00705A1C" w:rsidRDefault="00E56BDF" w:rsidP="00CE6729"/>
        </w:tc>
        <w:tc>
          <w:tcPr>
            <w:tcW w:w="5026" w:type="dxa"/>
          </w:tcPr>
          <w:p w:rsidR="00E56BDF" w:rsidRPr="00705A1C" w:rsidRDefault="00E56BDF" w:rsidP="00CE6729">
            <w:r w:rsidRPr="00705A1C">
              <w:t>PRIJENOS SREDSTAVA U NAREDNU GODINU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Default="00E56BDF" w:rsidP="00CE6729"/>
        </w:tc>
        <w:tc>
          <w:tcPr>
            <w:tcW w:w="5026" w:type="dxa"/>
          </w:tcPr>
          <w:p w:rsidR="00E56BDF" w:rsidRPr="00614749" w:rsidRDefault="00E56BDF" w:rsidP="00CE6729">
            <w:r>
              <w:t>NETO FINANCIRANJE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</w:tr>
      <w:tr w:rsidR="00E56BDF" w:rsidRPr="00614749" w:rsidTr="00E56BDF">
        <w:tc>
          <w:tcPr>
            <w:tcW w:w="752" w:type="dxa"/>
          </w:tcPr>
          <w:p w:rsidR="00E56BDF" w:rsidRDefault="00E56BDF" w:rsidP="00CE6729"/>
        </w:tc>
        <w:tc>
          <w:tcPr>
            <w:tcW w:w="5026" w:type="dxa"/>
          </w:tcPr>
          <w:p w:rsidR="00E56BDF" w:rsidRPr="00614749" w:rsidRDefault="00E56BDF" w:rsidP="00CE6729">
            <w:r>
              <w:t>VIŠAK/MANJAK + NETO FINANCIRANJE</w:t>
            </w:r>
          </w:p>
        </w:tc>
        <w:tc>
          <w:tcPr>
            <w:tcW w:w="1276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E56BDF" w:rsidRPr="00614749" w:rsidRDefault="00E56BDF" w:rsidP="00CE6729">
            <w:pPr>
              <w:jc w:val="right"/>
            </w:pPr>
            <w:r>
              <w:t>0</w:t>
            </w:r>
          </w:p>
        </w:tc>
      </w:tr>
    </w:tbl>
    <w:p w:rsidR="00705A1C" w:rsidRPr="00C90F97" w:rsidRDefault="00705A1C">
      <w:pPr>
        <w:rPr>
          <w:lang w:val="hr-HR"/>
        </w:rPr>
      </w:pPr>
    </w:p>
    <w:sectPr w:rsidR="00705A1C" w:rsidRPr="00C90F97" w:rsidSect="00E56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33481"/>
    <w:multiLevelType w:val="hybridMultilevel"/>
    <w:tmpl w:val="9F726E9C"/>
    <w:lvl w:ilvl="0" w:tplc="B7B64C5A">
      <w:start w:val="1"/>
      <w:numFmt w:val="upperRoman"/>
      <w:lvlText w:val="%1."/>
      <w:lvlJc w:val="left"/>
      <w:pPr>
        <w:ind w:left="30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F97"/>
    <w:rsid w:val="00090ADA"/>
    <w:rsid w:val="0029695B"/>
    <w:rsid w:val="0064097C"/>
    <w:rsid w:val="00705A1C"/>
    <w:rsid w:val="00C50B2C"/>
    <w:rsid w:val="00C90F97"/>
    <w:rsid w:val="00E5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2025-12-29T08:10:00Z</dcterms:created>
  <dcterms:modified xsi:type="dcterms:W3CDTF">2025-12-29T08:34:00Z</dcterms:modified>
</cp:coreProperties>
</file>